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E4" w:rsidRDefault="009956E4">
      <w:pPr>
        <w:pStyle w:val="ConsPlusNormal"/>
        <w:ind w:firstLine="540"/>
        <w:jc w:val="both"/>
      </w:pPr>
      <w:bookmarkStart w:id="0" w:name="_GoBack"/>
      <w:bookmarkEnd w:id="0"/>
      <w:r>
        <w:rPr>
          <w:b/>
        </w:rPr>
        <w:t>Вопрос:</w:t>
      </w:r>
      <w:r>
        <w:t xml:space="preserve"> О квалификации правоотношений при аренде имущества и оказании услуг в целях ведения бюджетным учреждением бухгалтерского учета и отчетности.</w:t>
      </w:r>
    </w:p>
    <w:p w:rsidR="009956E4" w:rsidRDefault="009956E4">
      <w:pPr>
        <w:pStyle w:val="ConsPlusNormal"/>
        <w:jc w:val="both"/>
      </w:pPr>
    </w:p>
    <w:p w:rsidR="009956E4" w:rsidRDefault="009956E4">
      <w:pPr>
        <w:pStyle w:val="ConsPlusNormal"/>
        <w:ind w:firstLine="540"/>
        <w:jc w:val="both"/>
      </w:pPr>
      <w:r>
        <w:rPr>
          <w:b/>
        </w:rPr>
        <w:t>Ответ:</w:t>
      </w:r>
    </w:p>
    <w:p w:rsidR="009956E4" w:rsidRDefault="009956E4">
      <w:pPr>
        <w:pStyle w:val="ConsPlusTitle"/>
        <w:spacing w:before="220"/>
        <w:jc w:val="center"/>
      </w:pPr>
      <w:r>
        <w:t>МИНИСТЕРСТВО ФИНАНСОВ РОССИЙСКОЙ ФЕДЕРАЦИИ</w:t>
      </w:r>
    </w:p>
    <w:p w:rsidR="009956E4" w:rsidRDefault="009956E4">
      <w:pPr>
        <w:pStyle w:val="ConsPlusTitle"/>
        <w:jc w:val="center"/>
      </w:pPr>
    </w:p>
    <w:p w:rsidR="009956E4" w:rsidRDefault="009956E4">
      <w:pPr>
        <w:pStyle w:val="ConsPlusTitle"/>
        <w:jc w:val="center"/>
      </w:pPr>
      <w:r>
        <w:t>ПИСЬМО</w:t>
      </w:r>
    </w:p>
    <w:p w:rsidR="009956E4" w:rsidRDefault="009956E4">
      <w:pPr>
        <w:pStyle w:val="ConsPlusTitle"/>
        <w:jc w:val="center"/>
      </w:pPr>
      <w:r>
        <w:t>от 3 октября 2018 г. N 02-07-05/70859</w:t>
      </w:r>
    </w:p>
    <w:p w:rsidR="009956E4" w:rsidRDefault="009956E4">
      <w:pPr>
        <w:pStyle w:val="ConsPlusNormal"/>
        <w:jc w:val="both"/>
      </w:pPr>
    </w:p>
    <w:p w:rsidR="009956E4" w:rsidRDefault="009956E4">
      <w:pPr>
        <w:pStyle w:val="ConsPlusNormal"/>
        <w:ind w:firstLine="540"/>
        <w:jc w:val="both"/>
      </w:pPr>
      <w:r>
        <w:t xml:space="preserve">Департамент бюджетной методологии и финансовой отчетности в государственном секторе Министерства финансов Российской Федерации </w:t>
      </w:r>
      <w:proofErr w:type="gramStart"/>
      <w:r>
        <w:t>рассмотрел запрос и сообщает</w:t>
      </w:r>
      <w:proofErr w:type="gramEnd"/>
      <w:r>
        <w:t>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со </w:t>
      </w:r>
      <w:hyperlink r:id="rId5" w:history="1">
        <w:r>
          <w:rPr>
            <w:color w:val="0000FF"/>
          </w:rPr>
          <w:t>статьей 4</w:t>
        </w:r>
      </w:hyperlink>
      <w:r>
        <w:t xml:space="preserve"> Федерального закона от 2 мая 2006 г. N 59-ФЗ "О порядке рассмотрения обращений граждан Российской Федерации" рассмотрению подлежат следующие виды обращений граждан: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>предложения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>просьбы граждан о содействии в реализации их конституционных прав и свобод или конституционных прав и свобод других лиц, либо сообщения о нарушении законов или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>жалобы граждан - просьбы о восстановлении или защите их нарушенных прав, свобод или законных интересов либо прав и свобод или законных интересов других лиц.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>Содержащийся в обращении вопрос не относится к приведенным видам обращений граждан, подлежащих рассмотрению федеральными органами государственной власти.</w:t>
      </w:r>
    </w:p>
    <w:p w:rsidR="009956E4" w:rsidRDefault="009956E4">
      <w:pPr>
        <w:pStyle w:val="ConsPlusNormal"/>
        <w:spacing w:before="220"/>
        <w:ind w:firstLine="540"/>
        <w:jc w:val="both"/>
      </w:pPr>
      <w:proofErr w:type="gramStart"/>
      <w:r>
        <w:t>Учитывая изложенное, а также то, что суть вопроса в обращении сводится к особенностям ведения бюджетным учреждением бухгалтерского учета, Департамент обращает внимание, что подобные вопросы о порядке применения отдельных норм законодательства, распространяющихся на организации в части ведения бухгалтерского учета, следует направлять в виде запроса организации (бюджетного учреждения), оформленного надлежащим образом (на бланке организации (бюджетного учреждения), с подписью уполномоченного лица).</w:t>
      </w:r>
      <w:proofErr w:type="gramEnd"/>
    </w:p>
    <w:p w:rsidR="009956E4" w:rsidRDefault="009956E4">
      <w:pPr>
        <w:pStyle w:val="ConsPlusNormal"/>
        <w:spacing w:before="220"/>
        <w:ind w:firstLine="540"/>
        <w:jc w:val="both"/>
      </w:pPr>
      <w:proofErr w:type="gramStart"/>
      <w:r>
        <w:t xml:space="preserve">Вместе с этим сообщаем, что </w:t>
      </w:r>
      <w:hyperlink r:id="rId6" w:history="1">
        <w:r>
          <w:rPr>
            <w:color w:val="0000FF"/>
          </w:rPr>
          <w:t>пунктом 68</w:t>
        </w:r>
      </w:hyperlink>
      <w:r>
        <w:t xml:space="preserve"> приказа Министерства финансов Российской Федерации от 31 декабря 2016 г. N 256н "Об утверждении федерального стандарта бухгалтерского учета для организаций государственного сектора "Концептуальные основы бухгалтерского учета и отчетности организаций государственного сектора" (далее - СГС "Концептуальные основы") установлено, что в целях достоверного раскрытия информации в бухгалтерской (финансовой) отчетности информация об объектах бухгалтерского учета, фактах хозяйственной</w:t>
      </w:r>
      <w:proofErr w:type="gramEnd"/>
      <w:r>
        <w:t xml:space="preserve"> жизни должна быть предоставлена в соответствии с экономической сущностью фактов хозяйственной жизни, а не только их правовой формой.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>Нормами гражданского права установлено различие между гражданско-правовыми отношениями, возникающими при аренде имущества и оказании услуг. Соответственно, дифференцирован подход в бухгалтерском учете по отражению данных фактов хозяйственной жизни.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 xml:space="preserve">Как указывает практика разрешения судами споров по гражданским договорам, название </w:t>
      </w:r>
      <w:r>
        <w:lastRenderedPageBreak/>
        <w:t xml:space="preserve">договора не </w:t>
      </w:r>
      <w:proofErr w:type="gramStart"/>
      <w:r>
        <w:t>определяет природу отношений и может</w:t>
      </w:r>
      <w:proofErr w:type="gramEnd"/>
      <w:r>
        <w:t xml:space="preserve"> частично или в полной мере не соответствовать существу возникающих отношений.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>При этом, квалифицируя правоотношения сторон договора, необходимо исходить из признаков и содержания данного договора, а не из его формы.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 xml:space="preserve">Так, при аренде имущества у арендатора возникает самостоятельный объект бухгалтерского учета в составе нефинансовых активов: при операционной аренде - право пользования активом, при </w:t>
      </w:r>
      <w:proofErr w:type="spellStart"/>
      <w:r>
        <w:t>неоперационной</w:t>
      </w:r>
      <w:proofErr w:type="spellEnd"/>
      <w:r>
        <w:t xml:space="preserve"> (финансовой) аренде - основное средство. При этом находящийся в пользован</w:t>
      </w:r>
      <w:proofErr w:type="gramStart"/>
      <w:r>
        <w:t>ии у а</w:t>
      </w:r>
      <w:proofErr w:type="gramEnd"/>
      <w:r>
        <w:t>рендатора (субъекта учета) актив должен контролироваться им.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 xml:space="preserve">При этом согласно </w:t>
      </w:r>
      <w:hyperlink r:id="rId7" w:history="1">
        <w:r>
          <w:rPr>
            <w:color w:val="0000FF"/>
          </w:rPr>
          <w:t>статье 655</w:t>
        </w:r>
      </w:hyperlink>
      <w:r>
        <w:t xml:space="preserve"> Гражданского кодекса Российской Федерации передача здания или сооружения арендодателем и принятие его арендатором осуществляются по передаточному акту или иному документу о передаче, подписываемому сторонами.</w:t>
      </w:r>
    </w:p>
    <w:p w:rsidR="009956E4" w:rsidRDefault="009956E4">
      <w:pPr>
        <w:pStyle w:val="ConsPlusNormal"/>
        <w:spacing w:before="220"/>
        <w:ind w:firstLine="540"/>
        <w:jc w:val="both"/>
      </w:pPr>
      <w:r>
        <w:t xml:space="preserve">В то время как под услугой в соответствии со </w:t>
      </w:r>
      <w:hyperlink r:id="rId8" w:history="1">
        <w:r>
          <w:rPr>
            <w:color w:val="0000FF"/>
          </w:rPr>
          <w:t>статьей 779</w:t>
        </w:r>
      </w:hyperlink>
      <w:r>
        <w:t xml:space="preserve"> Гражданского кодекса Российской Федерации понимается совершение определенных действий или осуществление определенной деятельности.</w:t>
      </w:r>
    </w:p>
    <w:p w:rsidR="009956E4" w:rsidRDefault="009956E4">
      <w:pPr>
        <w:pStyle w:val="ConsPlusNormal"/>
        <w:spacing w:before="220"/>
        <w:ind w:firstLine="540"/>
        <w:jc w:val="both"/>
      </w:pPr>
      <w:proofErr w:type="gramStart"/>
      <w:r>
        <w:t>Следовательно, при классификации факта хозяйственной жизни и определении нормативного правового акта, регулирующего ведение бухгалтерского учета и составление бухгалтерской (финансовой) отчетности, на основании положений которого возникающие объекты бухгалтерского учета будут признаваться в бухгалтерском учете (</w:t>
      </w:r>
      <w:hyperlink r:id="rId9" w:history="1">
        <w:r>
          <w:rPr>
            <w:color w:val="0000FF"/>
          </w:rPr>
          <w:t>СГС</w:t>
        </w:r>
      </w:hyperlink>
      <w:r>
        <w:t xml:space="preserve"> "Аренда" или иной нормативный правовой акт), следует исходить из экономической сущности сложившихся правоотношений по использованию имущества в совокупности с иными правами и обязанностями сторон по договору</w:t>
      </w:r>
      <w:proofErr w:type="gramEnd"/>
      <w:r>
        <w:t xml:space="preserve"> и в соответствии с иными распорядительными актами Собственника имущества, а не из формы договора.</w:t>
      </w:r>
    </w:p>
    <w:p w:rsidR="009956E4" w:rsidRDefault="009956E4">
      <w:pPr>
        <w:pStyle w:val="ConsPlusNormal"/>
        <w:jc w:val="both"/>
      </w:pPr>
    </w:p>
    <w:p w:rsidR="009956E4" w:rsidRDefault="009956E4">
      <w:pPr>
        <w:pStyle w:val="ConsPlusNormal"/>
        <w:jc w:val="right"/>
      </w:pPr>
      <w:r>
        <w:t>Заместитель директора Департамента</w:t>
      </w:r>
    </w:p>
    <w:p w:rsidR="009956E4" w:rsidRDefault="009956E4">
      <w:pPr>
        <w:pStyle w:val="ConsPlusNormal"/>
        <w:jc w:val="right"/>
      </w:pPr>
      <w:r>
        <w:t>бюджетной методологии</w:t>
      </w:r>
    </w:p>
    <w:p w:rsidR="009956E4" w:rsidRDefault="009956E4">
      <w:pPr>
        <w:pStyle w:val="ConsPlusNormal"/>
        <w:jc w:val="right"/>
      </w:pPr>
      <w:r>
        <w:t>и финансовой отчетности</w:t>
      </w:r>
    </w:p>
    <w:p w:rsidR="009956E4" w:rsidRDefault="009956E4">
      <w:pPr>
        <w:pStyle w:val="ConsPlusNormal"/>
        <w:jc w:val="right"/>
      </w:pPr>
      <w:r>
        <w:t>в государственном секторе</w:t>
      </w:r>
    </w:p>
    <w:p w:rsidR="009956E4" w:rsidRDefault="009956E4">
      <w:pPr>
        <w:pStyle w:val="ConsPlusNormal"/>
        <w:jc w:val="right"/>
      </w:pPr>
      <w:r>
        <w:t>С.В.СИВЕЦ</w:t>
      </w:r>
    </w:p>
    <w:p w:rsidR="009956E4" w:rsidRDefault="009956E4">
      <w:pPr>
        <w:pStyle w:val="ConsPlusNormal"/>
      </w:pPr>
      <w:r>
        <w:t>03.10.2018</w:t>
      </w:r>
    </w:p>
    <w:p w:rsidR="009956E4" w:rsidRDefault="009956E4">
      <w:pPr>
        <w:pStyle w:val="ConsPlusNormal"/>
        <w:jc w:val="both"/>
      </w:pPr>
    </w:p>
    <w:p w:rsidR="009956E4" w:rsidRDefault="009956E4">
      <w:pPr>
        <w:pStyle w:val="ConsPlusNormal"/>
        <w:jc w:val="both"/>
      </w:pPr>
    </w:p>
    <w:p w:rsidR="009956E4" w:rsidRDefault="009956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774E9" w:rsidRDefault="00C774E9"/>
    <w:sectPr w:rsidR="00C774E9" w:rsidSect="00AC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6E4"/>
    <w:rsid w:val="009956E4"/>
    <w:rsid w:val="00C774E9"/>
    <w:rsid w:val="00E2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5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5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56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E40666C7550FE15D684A3D88F5054C20EA42B98146B974FB37134359BF45F101CF5E5B4CED189CBAD108EBA453F19EE0BF143648E140132U7R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38E40666C7550FE15D684A3D88F5054C20EA42B98146B974FB37134359BF45F101CF5E5B4CFDA8FCAAD108EBA453F19EE0BF143648E140132U7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38E40666C7550FE15D684A3D88F5054C206A62C93156B974FB37134359BF45F101CF5E5B4CFD38CCBAD108EBA453F19EE0BF143648E140132U7R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38E40666C7550FE15D684A3D88F5054C20FA328961C6B974FB37134359BF45F101CF5E5B4CFD28ACAAD108EBA453F19EE0BF143648E140132U7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8E40666C7550FE15D684A3D88F5054C206A62E941D6B974FB37134359BF45F101CF5E5B4CFD28AC2AD108EBA453F19EE0BF143648E140132U7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 ГАЛИНА АНАТОЛЬЕВНА</dc:creator>
  <cp:lastModifiedBy>СЕЛЕЗНЕВА ГАЛИНА АНАТОЛЬЕВНА</cp:lastModifiedBy>
  <cp:revision>1</cp:revision>
  <dcterms:created xsi:type="dcterms:W3CDTF">2018-11-15T17:20:00Z</dcterms:created>
  <dcterms:modified xsi:type="dcterms:W3CDTF">2018-11-15T17:21:00Z</dcterms:modified>
</cp:coreProperties>
</file>